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9" w:rsidRDefault="00CC68A9">
      <w:pPr>
        <w:jc w:val="center"/>
        <w:rPr>
          <w:rFonts w:ascii="方正小标宋简体" w:eastAsia="方正小标宋简体" w:hAnsi="宋体" w:cs="宋体" w:hint="eastAsia"/>
          <w:snapToGrid w:val="0"/>
          <w:color w:val="FF0000"/>
          <w:w w:val="75"/>
          <w:kern w:val="0"/>
          <w:sz w:val="52"/>
          <w:szCs w:val="52"/>
        </w:rPr>
      </w:pPr>
    </w:p>
    <w:p w:rsidR="00CC68A9" w:rsidRDefault="006E4632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110"/>
          <w:szCs w:val="110"/>
        </w:rPr>
      </w:pPr>
      <w:r>
        <w:rPr>
          <w:rFonts w:ascii="方正小标宋简体" w:eastAsia="方正小标宋简体" w:hAnsi="宋体" w:cs="宋体" w:hint="eastAsia"/>
          <w:snapToGrid w:val="0"/>
          <w:color w:val="FF0000"/>
          <w:w w:val="75"/>
          <w:kern w:val="0"/>
          <w:sz w:val="110"/>
          <w:szCs w:val="110"/>
        </w:rPr>
        <w:t>嘉兴市农业农村局文件</w:t>
      </w:r>
    </w:p>
    <w:p w:rsidR="00CC68A9" w:rsidRDefault="00CC68A9">
      <w:pPr>
        <w:jc w:val="center"/>
        <w:rPr>
          <w:rFonts w:ascii="仿宋_GB2312" w:eastAsia="仿宋_GB2312" w:hAnsi="宋体"/>
          <w:color w:val="000000"/>
          <w:sz w:val="32"/>
          <w:szCs w:val="32"/>
        </w:rPr>
      </w:pPr>
    </w:p>
    <w:p w:rsidR="00CC68A9" w:rsidRDefault="006E4632">
      <w:pPr>
        <w:jc w:val="center"/>
        <w:rPr>
          <w:rFonts w:ascii="方正小标宋简体" w:eastAsia="方正小标宋简体" w:hAnsi="宋体" w:cs="宋体"/>
          <w:snapToGrid w:val="0"/>
          <w:color w:val="FF0000"/>
          <w:w w:val="75"/>
          <w:kern w:val="0"/>
          <w:sz w:val="110"/>
          <w:szCs w:val="110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嘉农发〔20</w:t>
      </w:r>
      <w:r w:rsidR="00CE439E">
        <w:rPr>
          <w:rFonts w:ascii="仿宋_GB2312" w:eastAsia="仿宋_GB2312" w:hAnsi="宋体" w:hint="eastAsia"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〕</w:t>
      </w:r>
      <w:r w:rsidR="00C05C85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号</w:t>
      </w:r>
    </w:p>
    <w:p w:rsidR="00CC68A9" w:rsidRDefault="005E3736">
      <w:pPr>
        <w:rPr>
          <w:rFonts w:ascii="仿宋_GB2312" w:eastAsia="仿宋_GB2312" w:hAnsi="仿宋_GB2312" w:cs="仿宋_GB2312"/>
          <w:snapToGrid w:val="0"/>
          <w:color w:val="FF0000"/>
          <w:w w:val="75"/>
          <w:kern w:val="0"/>
          <w:sz w:val="32"/>
          <w:szCs w:val="32"/>
        </w:rPr>
      </w:pPr>
      <w:r>
        <w:rPr>
          <w:rFonts w:ascii="方正小标宋简体" w:eastAsia="方正小标宋简体" w:hAnsi="宋体" w:cs="宋体"/>
          <w:noProof/>
          <w:color w:val="FF0000"/>
          <w:kern w:val="0"/>
          <w:sz w:val="110"/>
          <w:szCs w:val="1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3809</wp:posOffset>
                </wp:positionV>
                <wp:extent cx="5352415" cy="0"/>
                <wp:effectExtent l="0" t="0" r="1968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24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.3pt" to="41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" strokecolor="red" strokeweight="2pt">
                <v:stroke joinstyle="miter"/>
                <o:lock v:ext="edit" shapetype="f"/>
              </v:line>
            </w:pict>
          </mc:Fallback>
        </mc:AlternateContent>
      </w:r>
    </w:p>
    <w:p w:rsidR="00263866" w:rsidRDefault="00911465" w:rsidP="00F863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791E72">
        <w:rPr>
          <w:rFonts w:ascii="方正小标宋简体" w:eastAsia="方正小标宋简体" w:hAnsi="方正小标宋简体" w:cs="方正小标宋简体"/>
          <w:sz w:val="44"/>
          <w:szCs w:val="32"/>
        </w:rPr>
        <w:t>嘉兴市农业农村局关于</w:t>
      </w:r>
      <w:r w:rsidR="00263866">
        <w:rPr>
          <w:rFonts w:ascii="方正小标宋简体" w:eastAsia="方正小标宋简体" w:hint="eastAsia"/>
          <w:color w:val="000000"/>
          <w:sz w:val="44"/>
          <w:szCs w:val="32"/>
        </w:rPr>
        <w:t>印发《嘉兴市</w:t>
      </w:r>
      <w:r w:rsidR="00F8634A" w:rsidRPr="00791E72">
        <w:rPr>
          <w:rFonts w:ascii="方正小标宋简体" w:eastAsia="方正小标宋简体" w:hAnsi="方正小标宋简体" w:cs="方正小标宋简体" w:hint="eastAsia"/>
          <w:sz w:val="44"/>
          <w:szCs w:val="32"/>
        </w:rPr>
        <w:t>稻渔综合种养“万元千斤”工程（2020-2022年）</w:t>
      </w:r>
    </w:p>
    <w:p w:rsidR="00F8634A" w:rsidRPr="00791E72" w:rsidRDefault="00F8634A" w:rsidP="00F863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791E72">
        <w:rPr>
          <w:rFonts w:ascii="方正小标宋简体" w:eastAsia="方正小标宋简体" w:hAnsi="方正小标宋简体" w:cs="方正小标宋简体" w:hint="eastAsia"/>
          <w:sz w:val="44"/>
          <w:szCs w:val="32"/>
        </w:rPr>
        <w:t>实施意见</w:t>
      </w:r>
      <w:r w:rsidR="00263866">
        <w:rPr>
          <w:rFonts w:ascii="方正小标宋简体" w:eastAsia="方正小标宋简体" w:hAnsi="方正小标宋简体" w:cs="方正小标宋简体" w:hint="eastAsia"/>
          <w:sz w:val="44"/>
          <w:szCs w:val="32"/>
        </w:rPr>
        <w:t>》的通知</w:t>
      </w:r>
    </w:p>
    <w:p w:rsidR="00957DEF" w:rsidRPr="00957DEF" w:rsidRDefault="00957DEF" w:rsidP="00F8634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F8634A" w:rsidRPr="00F4300F" w:rsidRDefault="00F8634A" w:rsidP="00F8634A">
      <w:pPr>
        <w:spacing w:line="560" w:lineRule="exact"/>
        <w:jc w:val="center"/>
        <w:rPr>
          <w:rFonts w:ascii="楷体_GB2312" w:eastAsia="楷体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南湖区、秀洲区农业农村和水利局，各县（市）农业农村局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</w:t>
      </w:r>
    </w:p>
    <w:p w:rsidR="00263866" w:rsidRDefault="00263866" w:rsidP="00F8634A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为推进我市农业绿色发展，促进稻渔综合种养高质量发展，实现稳粮增收，现将《嘉兴市稻渔综合种养</w:t>
      </w:r>
      <w:r w:rsidR="006840DA">
        <w:rPr>
          <w:rFonts w:ascii="仿宋_GB2312" w:eastAsia="仿宋_GB2312" w:hint="eastAsia"/>
          <w:color w:val="000000"/>
          <w:sz w:val="32"/>
          <w:szCs w:val="32"/>
        </w:rPr>
        <w:t>“万元千斤”工程（2020-2022年）实施意见》印发给你们，请认真贯彻实施。</w:t>
      </w:r>
    </w:p>
    <w:p w:rsidR="006840DA" w:rsidRDefault="006840DA" w:rsidP="006840DA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215ACB" w:rsidRDefault="00215ACB" w:rsidP="006840DA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215ACB" w:rsidRDefault="00215ACB" w:rsidP="006840DA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215ACB" w:rsidRDefault="00215ACB" w:rsidP="006840DA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6840DA" w:rsidRDefault="006840DA" w:rsidP="006840DA">
      <w:pPr>
        <w:spacing w:line="560" w:lineRule="exact"/>
        <w:ind w:firstLineChars="1400" w:firstLine="448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嘉兴市农业农村局</w:t>
      </w:r>
    </w:p>
    <w:p w:rsidR="006840DA" w:rsidRDefault="006840DA" w:rsidP="006840DA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2020年1月15日</w:t>
      </w:r>
    </w:p>
    <w:p w:rsidR="006840DA" w:rsidRDefault="006840DA" w:rsidP="00E200DF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  <w:r w:rsidRPr="006840DA">
        <w:rPr>
          <w:rFonts w:ascii="方正小标宋简体" w:eastAsia="方正小标宋简体" w:hAnsi="方正小标宋简体" w:cs="方正小标宋简体" w:hint="eastAsia"/>
          <w:sz w:val="44"/>
          <w:szCs w:val="32"/>
        </w:rPr>
        <w:lastRenderedPageBreak/>
        <w:t>嘉兴市稻渔综合种养“万元千斤”工程（2020-2022年）实施意见</w:t>
      </w:r>
    </w:p>
    <w:p w:rsidR="00215ACB" w:rsidRPr="006840DA" w:rsidRDefault="00215ACB" w:rsidP="00E200DF">
      <w:pPr>
        <w:spacing w:line="54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876D74">
        <w:rPr>
          <w:rFonts w:ascii="仿宋_GB2312" w:eastAsia="仿宋_GB2312" w:hint="eastAsia"/>
          <w:color w:val="000000"/>
          <w:sz w:val="32"/>
          <w:szCs w:val="32"/>
        </w:rPr>
        <w:t>根据《浙江省农业农村厅等10部门关于加快推进水产养殖绿色发展的实施意见（2019-2022年）》</w:t>
      </w: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59111F">
        <w:rPr>
          <w:rFonts w:ascii="仿宋_GB2312" w:eastAsia="仿宋_GB2312" w:hint="eastAsia"/>
          <w:color w:val="000000"/>
          <w:sz w:val="32"/>
          <w:szCs w:val="32"/>
        </w:rPr>
        <w:t>浙农渔发〔2019</w:t>
      </w:r>
      <w:r w:rsidRPr="00FD6E7A">
        <w:rPr>
          <w:rFonts w:ascii="仿宋_GB2312" w:eastAsia="仿宋_GB2312" w:hint="eastAsia"/>
          <w:color w:val="000000"/>
          <w:sz w:val="32"/>
          <w:szCs w:val="32"/>
        </w:rPr>
        <w:t>〕</w:t>
      </w:r>
      <w:r w:rsidRPr="0059111F">
        <w:rPr>
          <w:rFonts w:ascii="仿宋_GB2312" w:eastAsia="仿宋_GB2312" w:hint="eastAsia"/>
          <w:color w:val="000000"/>
          <w:sz w:val="32"/>
          <w:szCs w:val="32"/>
        </w:rPr>
        <w:t>12号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《浙江省稻渔综合种养百万工程（2019-2022年）实施意见》</w:t>
      </w:r>
      <w:r w:rsidRPr="009F6C1B">
        <w:rPr>
          <w:rFonts w:ascii="仿宋_GB2312" w:eastAsia="仿宋_GB2312" w:hint="eastAsia"/>
          <w:color w:val="000000"/>
          <w:sz w:val="32"/>
          <w:szCs w:val="32"/>
        </w:rPr>
        <w:t>（浙农专发〔2019〕95号）</w:t>
      </w:r>
      <w:r w:rsidRPr="00E454FA">
        <w:rPr>
          <w:rFonts w:ascii="仿宋_GB2312" w:eastAsia="仿宋_GB2312" w:hint="eastAsia"/>
          <w:color w:val="000000"/>
          <w:sz w:val="32"/>
          <w:szCs w:val="32"/>
        </w:rPr>
        <w:t>《</w:t>
      </w:r>
      <w:r w:rsidRPr="00FD6E7A">
        <w:rPr>
          <w:rFonts w:ascii="仿宋_GB2312" w:eastAsia="仿宋_GB2312" w:hint="eastAsia"/>
          <w:color w:val="000000"/>
          <w:sz w:val="32"/>
          <w:szCs w:val="32"/>
        </w:rPr>
        <w:t>关于坚定不移推进城乡一体化全面打造乡村振兴示范地的意见</w:t>
      </w:r>
      <w:r>
        <w:rPr>
          <w:rFonts w:ascii="仿宋_GB2312" w:eastAsia="仿宋_GB2312" w:hint="eastAsia"/>
          <w:color w:val="000000"/>
          <w:sz w:val="32"/>
          <w:szCs w:val="32"/>
        </w:rPr>
        <w:t>》（</w:t>
      </w:r>
      <w:r w:rsidRPr="00FD6E7A">
        <w:rPr>
          <w:rFonts w:ascii="仿宋_GB2312" w:eastAsia="仿宋_GB2312" w:hint="eastAsia"/>
          <w:color w:val="000000"/>
          <w:sz w:val="32"/>
          <w:szCs w:val="32"/>
        </w:rPr>
        <w:t>嘉委发〔2018〕11号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等文件精神，为进一步促进</w:t>
      </w:r>
      <w:r>
        <w:rPr>
          <w:rFonts w:ascii="仿宋_GB2312" w:eastAsia="仿宋_GB2312" w:hint="eastAsia"/>
          <w:color w:val="000000"/>
          <w:sz w:val="32"/>
          <w:szCs w:val="32"/>
        </w:rPr>
        <w:t>我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市农业绿色高质量发</w:t>
      </w:r>
      <w:bookmarkStart w:id="0" w:name="_GoBack"/>
      <w:bookmarkEnd w:id="0"/>
      <w:r w:rsidRPr="00876D74">
        <w:rPr>
          <w:rFonts w:ascii="仿宋_GB2312" w:eastAsia="仿宋_GB2312" w:hint="eastAsia"/>
          <w:color w:val="000000"/>
          <w:sz w:val="32"/>
          <w:szCs w:val="32"/>
        </w:rPr>
        <w:t>展，加快构建</w:t>
      </w:r>
      <w:r>
        <w:rPr>
          <w:rFonts w:ascii="仿宋_GB2312" w:eastAsia="仿宋_GB2312" w:hint="eastAsia"/>
          <w:color w:val="000000"/>
          <w:sz w:val="32"/>
          <w:szCs w:val="32"/>
        </w:rPr>
        <w:t>适应平原水乡特性的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稻渔综合种养产业体系、生产体系和经营体系，结合我市</w:t>
      </w:r>
      <w:r>
        <w:rPr>
          <w:rFonts w:ascii="仿宋_GB2312" w:eastAsia="仿宋_GB2312" w:hint="eastAsia"/>
          <w:color w:val="000000"/>
          <w:sz w:val="32"/>
          <w:szCs w:val="32"/>
        </w:rPr>
        <w:t>工作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实际，</w:t>
      </w:r>
      <w:r>
        <w:rPr>
          <w:rFonts w:ascii="仿宋_GB2312" w:eastAsia="仿宋_GB2312" w:hint="eastAsia"/>
          <w:color w:val="000000"/>
          <w:sz w:val="32"/>
          <w:szCs w:val="32"/>
        </w:rPr>
        <w:t>特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制定</w:t>
      </w:r>
      <w:r>
        <w:rPr>
          <w:rFonts w:ascii="仿宋_GB2312" w:eastAsia="仿宋_GB2312" w:hint="eastAsia"/>
          <w:color w:val="000000"/>
          <w:sz w:val="32"/>
          <w:szCs w:val="32"/>
        </w:rPr>
        <w:t>本实施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意见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8634A" w:rsidRPr="00F4300F" w:rsidRDefault="00F8634A" w:rsidP="00E200DF">
      <w:pPr>
        <w:spacing w:line="54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F4300F">
        <w:rPr>
          <w:rFonts w:ascii="黑体" w:eastAsia="黑体" w:hAnsi="黑体" w:hint="eastAsia"/>
          <w:color w:val="000000"/>
          <w:sz w:val="32"/>
          <w:szCs w:val="32"/>
        </w:rPr>
        <w:t>一、总体要求</w:t>
      </w:r>
    </w:p>
    <w:p w:rsidR="00F8634A" w:rsidRPr="00F4300F" w:rsidRDefault="00F8634A" w:rsidP="00E200DF">
      <w:pPr>
        <w:spacing w:line="540" w:lineRule="exact"/>
        <w:ind w:firstLineChars="200" w:firstLine="640"/>
        <w:jc w:val="left"/>
        <w:rPr>
          <w:rFonts w:ascii="楷体_GB2312" w:eastAsia="楷体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（一）指导思想</w:t>
      </w: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876D74">
        <w:rPr>
          <w:rFonts w:ascii="仿宋_GB2312" w:eastAsia="仿宋_GB2312" w:hint="eastAsia"/>
          <w:color w:val="000000"/>
          <w:sz w:val="32"/>
          <w:szCs w:val="32"/>
        </w:rPr>
        <w:t>全面贯彻党的十九大精神，认真落实市委、市政府</w:t>
      </w:r>
      <w:r>
        <w:rPr>
          <w:rFonts w:ascii="仿宋_GB2312" w:eastAsia="仿宋_GB2312" w:hint="eastAsia"/>
          <w:color w:val="000000"/>
          <w:sz w:val="32"/>
          <w:szCs w:val="32"/>
        </w:rPr>
        <w:t>全面打造高质量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乡村振兴</w:t>
      </w:r>
      <w:r>
        <w:rPr>
          <w:rFonts w:ascii="仿宋_GB2312" w:eastAsia="仿宋_GB2312" w:hint="eastAsia"/>
          <w:color w:val="000000"/>
          <w:sz w:val="32"/>
          <w:szCs w:val="32"/>
        </w:rPr>
        <w:t>示范地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的决策部署，以</w:t>
      </w:r>
      <w:r>
        <w:rPr>
          <w:rFonts w:ascii="仿宋_GB2312" w:eastAsia="仿宋_GB2312" w:hint="eastAsia"/>
          <w:color w:val="000000"/>
          <w:sz w:val="32"/>
          <w:szCs w:val="32"/>
        </w:rPr>
        <w:t>深化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渔业供给侧结构性改革为主线，以</w:t>
      </w:r>
      <w:r>
        <w:rPr>
          <w:rFonts w:ascii="仿宋_GB2312" w:eastAsia="仿宋_GB2312" w:hint="eastAsia"/>
          <w:color w:val="000000"/>
          <w:sz w:val="32"/>
          <w:szCs w:val="32"/>
        </w:rPr>
        <w:t>推进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渔业增效、农民增收为目标，通过政策扶持、技术集成、示范带动，</w:t>
      </w:r>
      <w:r>
        <w:rPr>
          <w:rFonts w:ascii="仿宋_GB2312" w:eastAsia="仿宋_GB2312" w:hint="eastAsia"/>
          <w:color w:val="000000"/>
          <w:sz w:val="32"/>
          <w:szCs w:val="32"/>
        </w:rPr>
        <w:t>推动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“一水两用、一地双收、化肥农药双减半、稳粮增效、稻渔双赢”</w:t>
      </w:r>
      <w:r>
        <w:rPr>
          <w:rFonts w:ascii="仿宋_GB2312" w:eastAsia="仿宋_GB2312" w:hint="eastAsia"/>
          <w:color w:val="000000"/>
          <w:sz w:val="32"/>
          <w:szCs w:val="32"/>
        </w:rPr>
        <w:t>，扩面推广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“稻渔共生、稻渔共赢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综合种养模式，</w:t>
      </w:r>
      <w:r w:rsidRPr="002A5A43">
        <w:rPr>
          <w:rFonts w:ascii="仿宋_GB2312" w:eastAsia="仿宋_GB2312" w:hint="eastAsia"/>
          <w:color w:val="000000"/>
          <w:sz w:val="32"/>
          <w:szCs w:val="32"/>
        </w:rPr>
        <w:t>打造平原水乡稻渔综合种养产业高质量发展集聚地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8634A" w:rsidRPr="00F4300F" w:rsidRDefault="00F8634A" w:rsidP="00E200DF">
      <w:pPr>
        <w:spacing w:line="540" w:lineRule="exact"/>
        <w:ind w:firstLineChars="200" w:firstLine="640"/>
        <w:jc w:val="left"/>
        <w:rPr>
          <w:rFonts w:ascii="楷体_GB2312" w:eastAsia="楷体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（二）基本原则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1．坚持稳粮增收、以渔促稻。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坚持全面落实粮食安全责任制不动摇，坚决守住粮食生产稳定发展、永久基本农田保护和粮</w:t>
      </w:r>
      <w:r w:rsidRPr="00F8634A">
        <w:rPr>
          <w:rFonts w:ascii="仿宋_GB2312" w:eastAsia="仿宋_GB2312" w:hint="eastAsia"/>
          <w:color w:val="000000"/>
          <w:spacing w:val="16"/>
          <w:kern w:val="0"/>
          <w:sz w:val="32"/>
          <w:szCs w:val="32"/>
          <w:fitText w:val="9120" w:id="-2123093504"/>
        </w:rPr>
        <w:t>食安全的底线。坚持以行业标准《稻渔综合种养技术规范</w:t>
      </w:r>
      <w:r w:rsidRPr="00F8634A">
        <w:rPr>
          <w:rFonts w:ascii="仿宋_GB2312" w:eastAsia="仿宋_GB2312" w:hint="eastAsia"/>
          <w:color w:val="000000"/>
          <w:kern w:val="0"/>
          <w:sz w:val="32"/>
          <w:szCs w:val="32"/>
          <w:fitText w:val="9120" w:id="-2123093504"/>
        </w:rPr>
        <w:t>》</w:t>
      </w:r>
      <w:r w:rsidRPr="009E7F60">
        <w:rPr>
          <w:rFonts w:ascii="仿宋_GB2312" w:eastAsia="仿宋_GB2312" w:hint="eastAsia"/>
          <w:color w:val="000000"/>
          <w:sz w:val="32"/>
          <w:szCs w:val="32"/>
        </w:rPr>
        <w:lastRenderedPageBreak/>
        <w:t>（SC/T1135.1-2017）为指导，严守稻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渔综合种养田块鱼沟、鱼凼开挖面积不超过10%的红线，</w:t>
      </w:r>
      <w:r>
        <w:rPr>
          <w:rFonts w:ascii="仿宋_GB2312" w:eastAsia="仿宋_GB2312" w:hint="eastAsia"/>
          <w:color w:val="000000"/>
          <w:sz w:val="32"/>
          <w:szCs w:val="32"/>
        </w:rPr>
        <w:t>杜绝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“重渔轻稻”“挖塘养鱼”现象。通过推广标准化、规范化稻渔综合种养模式，激发农民种粮积极性，巩固和提高粮食综合生产能力。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2．坚持政策引导、市场主导。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加强政策引导扶持，激励和调动发展稻渔综合种养的主动性、积极性和创造性。按照典型引领、示范推广、辐射带动的</w:t>
      </w:r>
      <w:r>
        <w:rPr>
          <w:rFonts w:ascii="仿宋_GB2312" w:eastAsia="仿宋_GB2312" w:hint="eastAsia"/>
          <w:color w:val="000000"/>
          <w:sz w:val="32"/>
          <w:szCs w:val="32"/>
        </w:rPr>
        <w:t>思路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，加快培育</w:t>
      </w:r>
      <w:r>
        <w:rPr>
          <w:rFonts w:ascii="仿宋_GB2312" w:eastAsia="仿宋_GB2312" w:hint="eastAsia"/>
          <w:color w:val="000000"/>
          <w:sz w:val="32"/>
          <w:szCs w:val="32"/>
        </w:rPr>
        <w:t>优质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市场主体，科学规划产业</w:t>
      </w:r>
      <w:r>
        <w:rPr>
          <w:rFonts w:ascii="仿宋_GB2312" w:eastAsia="仿宋_GB2312" w:hint="eastAsia"/>
          <w:color w:val="000000"/>
          <w:sz w:val="32"/>
          <w:szCs w:val="32"/>
        </w:rPr>
        <w:t>布局，推进个性化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发展。</w:t>
      </w:r>
      <w:r>
        <w:rPr>
          <w:rFonts w:ascii="仿宋_GB2312" w:eastAsia="仿宋_GB2312" w:hint="eastAsia"/>
          <w:color w:val="000000"/>
          <w:sz w:val="32"/>
          <w:szCs w:val="32"/>
        </w:rPr>
        <w:t>尊重和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发挥</w:t>
      </w:r>
      <w:r>
        <w:rPr>
          <w:rFonts w:ascii="仿宋_GB2312" w:eastAsia="仿宋_GB2312" w:hint="eastAsia"/>
          <w:color w:val="000000"/>
          <w:sz w:val="32"/>
          <w:szCs w:val="32"/>
        </w:rPr>
        <w:t>好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市场在资源配置中的决定性作用，因地制宜选择种养模式、适度发展产业规模，形成特色明显、差异发展的稻渔综合种养新格局。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3．坚持生态优质、绿色发展。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强化技术模式创新和支撑能力</w:t>
      </w:r>
      <w:r>
        <w:rPr>
          <w:rFonts w:ascii="仿宋_GB2312" w:eastAsia="仿宋_GB2312" w:hint="eastAsia"/>
          <w:color w:val="000000"/>
          <w:sz w:val="32"/>
          <w:szCs w:val="32"/>
        </w:rPr>
        <w:t>建设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，重点开展稻虾、稻鳖、稻鱼、稻蛙等模式推广，加快创新集成绿色防控、减肥减药、综合利用、“物联网+”等新技术，提高生态种养管理水平，增强粮食生产可持续发展能力，促进稻渔一二三产融合和品牌化发展。严格投入品监管，保障稻渔产品质量安全，支撑优质优价消费升级需求。</w:t>
      </w:r>
    </w:p>
    <w:p w:rsidR="00F8634A" w:rsidRPr="00F4300F" w:rsidRDefault="00F8634A" w:rsidP="00E200DF">
      <w:pPr>
        <w:spacing w:line="540" w:lineRule="exact"/>
        <w:ind w:firstLineChars="200" w:firstLine="640"/>
        <w:jc w:val="left"/>
        <w:rPr>
          <w:rFonts w:ascii="楷体_GB2312" w:eastAsia="楷体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（三）主要目标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876D74">
        <w:rPr>
          <w:rFonts w:ascii="仿宋_GB2312" w:eastAsia="仿宋_GB2312" w:hint="eastAsia"/>
          <w:color w:val="000000"/>
          <w:sz w:val="32"/>
          <w:szCs w:val="32"/>
        </w:rPr>
        <w:t>到2022年，全市稻渔综合种养面积达到15万亩</w:t>
      </w:r>
      <w:r>
        <w:rPr>
          <w:rFonts w:ascii="仿宋_GB2312" w:eastAsia="仿宋_GB2312" w:hint="eastAsia"/>
          <w:color w:val="000000"/>
          <w:sz w:val="32"/>
          <w:szCs w:val="32"/>
        </w:rPr>
        <w:t>以上，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亩均增效2000元以上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与单纯种植水稻相比，单位面积化肥、农药使用量减少50%以上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走出一条具有嘉兴特色、产出高效、产品安全、资源节约、环境友好的稻渔综合种养产业发展之路。</w:t>
      </w:r>
    </w:p>
    <w:p w:rsidR="00F8634A" w:rsidRPr="00F4300F" w:rsidRDefault="00F8634A" w:rsidP="00E200DF">
      <w:pPr>
        <w:spacing w:line="54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F4300F">
        <w:rPr>
          <w:rFonts w:ascii="黑体" w:eastAsia="黑体" w:hAnsi="黑体" w:hint="eastAsia"/>
          <w:color w:val="000000"/>
          <w:sz w:val="32"/>
          <w:szCs w:val="32"/>
        </w:rPr>
        <w:t>二、重点任务</w:t>
      </w: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1．</w:t>
      </w:r>
      <w:r>
        <w:rPr>
          <w:rFonts w:ascii="楷体_GB2312" w:eastAsia="楷体_GB2312" w:hint="eastAsia"/>
          <w:color w:val="000000"/>
          <w:sz w:val="32"/>
          <w:szCs w:val="32"/>
        </w:rPr>
        <w:t>强化示范引领</w:t>
      </w:r>
      <w:r w:rsidRPr="00B35EDF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依托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稻田资源</w:t>
      </w:r>
      <w:r>
        <w:rPr>
          <w:rFonts w:ascii="仿宋_GB2312" w:eastAsia="仿宋_GB2312" w:hint="eastAsia"/>
          <w:color w:val="000000"/>
          <w:sz w:val="32"/>
          <w:szCs w:val="32"/>
        </w:rPr>
        <w:t>优势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，鼓励农作制度创新，</w:t>
      </w:r>
      <w:r>
        <w:rPr>
          <w:rFonts w:ascii="仿宋_GB2312" w:eastAsia="仿宋_GB2312" w:hint="eastAsia"/>
          <w:color w:val="000000"/>
          <w:sz w:val="32"/>
          <w:szCs w:val="32"/>
        </w:rPr>
        <w:t>打造一批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工程标准化、产区规模化、管理智能化的稻渔综合种养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lastRenderedPageBreak/>
        <w:t>示范区，</w:t>
      </w:r>
      <w:r>
        <w:rPr>
          <w:rFonts w:ascii="仿宋_GB2312" w:eastAsia="仿宋_GB2312" w:hint="eastAsia"/>
          <w:color w:val="000000"/>
          <w:sz w:val="32"/>
          <w:szCs w:val="32"/>
        </w:rPr>
        <w:t>示范推动区块连片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产业化。到2022年，力争建</w:t>
      </w:r>
      <w:r>
        <w:rPr>
          <w:rFonts w:ascii="仿宋_GB2312" w:eastAsia="仿宋_GB2312" w:hint="eastAsia"/>
          <w:color w:val="000000"/>
          <w:sz w:val="32"/>
          <w:szCs w:val="32"/>
        </w:rPr>
        <w:t>成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4个面积</w:t>
      </w:r>
      <w:r>
        <w:rPr>
          <w:rFonts w:ascii="仿宋_GB2312" w:eastAsia="仿宋_GB2312" w:hint="eastAsia"/>
          <w:color w:val="000000"/>
          <w:sz w:val="32"/>
          <w:szCs w:val="32"/>
        </w:rPr>
        <w:t>达到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2万亩以上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稻渔综合种养重点县（市、区），</w:t>
      </w:r>
      <w:r>
        <w:rPr>
          <w:rFonts w:ascii="仿宋_GB2312" w:eastAsia="仿宋_GB2312" w:hint="eastAsia"/>
          <w:color w:val="000000"/>
          <w:sz w:val="32"/>
          <w:szCs w:val="32"/>
        </w:rPr>
        <w:t>剩余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县（市、区）稻渔综合种养面积</w:t>
      </w:r>
      <w:r>
        <w:rPr>
          <w:rFonts w:ascii="仿宋_GB2312" w:eastAsia="仿宋_GB2312" w:hint="eastAsia"/>
          <w:color w:val="000000"/>
          <w:sz w:val="32"/>
          <w:szCs w:val="32"/>
        </w:rPr>
        <w:t>均达到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1万亩以上；</w:t>
      </w:r>
      <w:r>
        <w:rPr>
          <w:rFonts w:ascii="仿宋_GB2312" w:eastAsia="仿宋_GB2312" w:hint="eastAsia"/>
          <w:color w:val="000000"/>
          <w:sz w:val="32"/>
          <w:szCs w:val="32"/>
        </w:rPr>
        <w:t>创建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省级稻渔综合种养示范基地40个（规模300亩以上）</w:t>
      </w:r>
      <w:r>
        <w:rPr>
          <w:rFonts w:ascii="仿宋_GB2312" w:eastAsia="仿宋_GB2312" w:hint="eastAsia"/>
          <w:color w:val="000000"/>
          <w:sz w:val="32"/>
          <w:szCs w:val="32"/>
        </w:rPr>
        <w:t>；按照“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稳产高效、生态循环、标准规范、特色鲜明</w:t>
      </w:r>
      <w:r>
        <w:rPr>
          <w:rFonts w:ascii="仿宋_GB2312" w:eastAsia="仿宋_GB2312" w:hint="eastAsia"/>
          <w:color w:val="000000"/>
          <w:sz w:val="32"/>
          <w:szCs w:val="32"/>
        </w:rPr>
        <w:t>”的要求，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培育市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县两级示范主体200个（</w:t>
      </w:r>
      <w:r>
        <w:rPr>
          <w:rFonts w:ascii="仿宋_GB2312" w:eastAsia="仿宋_GB2312" w:hint="eastAsia"/>
          <w:color w:val="000000"/>
          <w:sz w:val="32"/>
          <w:szCs w:val="32"/>
        </w:rPr>
        <w:t>规模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100亩以上）。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2．强化种业</w:t>
      </w:r>
      <w:r>
        <w:rPr>
          <w:rFonts w:ascii="楷体_GB2312" w:eastAsia="楷体_GB2312" w:hint="eastAsia"/>
          <w:color w:val="000000"/>
          <w:sz w:val="32"/>
          <w:szCs w:val="32"/>
        </w:rPr>
        <w:t>建设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依托中国水稻所、浙江大学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省淡水所、市农科院等科研</w:t>
      </w:r>
      <w:r>
        <w:rPr>
          <w:rFonts w:ascii="仿宋_GB2312" w:eastAsia="仿宋_GB2312" w:hint="eastAsia"/>
          <w:color w:val="000000"/>
          <w:sz w:val="32"/>
          <w:szCs w:val="32"/>
        </w:rPr>
        <w:t>单位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大力发展与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稻渔综合种养</w:t>
      </w:r>
      <w:r>
        <w:rPr>
          <w:rFonts w:ascii="仿宋_GB2312" w:eastAsia="仿宋_GB2312" w:hint="eastAsia"/>
          <w:color w:val="000000"/>
          <w:sz w:val="32"/>
          <w:szCs w:val="32"/>
        </w:rPr>
        <w:t>模式想配套的种业，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研发或引进品质优、抗倒伏、抗病虫的稻渔种养优质专用稻品种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选育生长快、个体大、抗病强的水产良种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到2022年，</w:t>
      </w:r>
      <w:r>
        <w:rPr>
          <w:rFonts w:ascii="仿宋_GB2312" w:eastAsia="仿宋_GB2312" w:hint="eastAsia"/>
          <w:color w:val="000000"/>
          <w:sz w:val="32"/>
          <w:szCs w:val="32"/>
        </w:rPr>
        <w:t>确保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培育水产良种场和繁育示范基地4个以上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2A5A43">
        <w:rPr>
          <w:rFonts w:ascii="仿宋_GB2312" w:eastAsia="仿宋_GB2312" w:hint="eastAsia"/>
          <w:color w:val="000000"/>
          <w:sz w:val="32"/>
          <w:szCs w:val="32"/>
        </w:rPr>
        <w:t>稻渔</w:t>
      </w:r>
      <w:r>
        <w:rPr>
          <w:rFonts w:ascii="仿宋_GB2312" w:eastAsia="仿宋_GB2312" w:hint="eastAsia"/>
          <w:color w:val="000000"/>
          <w:sz w:val="32"/>
          <w:szCs w:val="32"/>
        </w:rPr>
        <w:t>良种选育</w:t>
      </w:r>
      <w:r w:rsidRPr="002A5A43">
        <w:rPr>
          <w:rFonts w:ascii="仿宋_GB2312" w:eastAsia="仿宋_GB2312" w:hint="eastAsia"/>
          <w:color w:val="000000"/>
          <w:sz w:val="32"/>
          <w:szCs w:val="32"/>
        </w:rPr>
        <w:t>和</w:t>
      </w:r>
      <w:r>
        <w:rPr>
          <w:rFonts w:ascii="仿宋_GB2312" w:eastAsia="仿宋_GB2312" w:hint="eastAsia"/>
          <w:color w:val="000000"/>
          <w:sz w:val="32"/>
          <w:szCs w:val="32"/>
        </w:rPr>
        <w:t>供应</w:t>
      </w:r>
      <w:r w:rsidRPr="002A5A43">
        <w:rPr>
          <w:rFonts w:ascii="仿宋_GB2312" w:eastAsia="仿宋_GB2312" w:hint="eastAsia"/>
          <w:color w:val="000000"/>
          <w:sz w:val="32"/>
          <w:szCs w:val="32"/>
        </w:rPr>
        <w:t>具备较强的区域影响力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3．</w:t>
      </w:r>
      <w:r>
        <w:rPr>
          <w:rFonts w:ascii="楷体_GB2312" w:eastAsia="楷体_GB2312" w:hint="eastAsia"/>
          <w:color w:val="000000"/>
          <w:sz w:val="32"/>
          <w:szCs w:val="32"/>
        </w:rPr>
        <w:t>强化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模式熟化。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以全市农技推广体系为主体，发挥科研院校和粮油、水产产业技术创新与推广服务团队优势，</w:t>
      </w:r>
      <w:r>
        <w:rPr>
          <w:rFonts w:ascii="仿宋_GB2312" w:eastAsia="仿宋_GB2312" w:hint="eastAsia"/>
          <w:color w:val="000000"/>
          <w:sz w:val="32"/>
          <w:szCs w:val="32"/>
        </w:rPr>
        <w:t>以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稻鳖、稻虾、稻鱼等模式</w:t>
      </w:r>
      <w:r>
        <w:rPr>
          <w:rFonts w:ascii="仿宋_GB2312" w:eastAsia="仿宋_GB2312" w:hint="eastAsia"/>
          <w:color w:val="000000"/>
          <w:sz w:val="32"/>
          <w:szCs w:val="32"/>
        </w:rPr>
        <w:t>为重点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加快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形成一整套操作流程图、技术明白纸</w:t>
      </w:r>
      <w:r>
        <w:rPr>
          <w:rFonts w:ascii="仿宋_GB2312" w:eastAsia="仿宋_GB2312" w:hint="eastAsia"/>
          <w:color w:val="000000"/>
          <w:sz w:val="32"/>
          <w:szCs w:val="32"/>
        </w:rPr>
        <w:t>,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打通技术服务“最后一公里”。</w:t>
      </w:r>
      <w:r>
        <w:rPr>
          <w:rFonts w:ascii="仿宋_GB2312" w:eastAsia="仿宋_GB2312" w:hint="eastAsia"/>
          <w:color w:val="000000"/>
          <w:sz w:val="32"/>
          <w:szCs w:val="32"/>
        </w:rPr>
        <w:t>聚焦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减肥减药、尾水循环利用、产品质量安全与品质提升等环节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加强水产、种植、土肥、植保</w:t>
      </w:r>
      <w:r>
        <w:rPr>
          <w:rFonts w:ascii="仿宋_GB2312" w:eastAsia="仿宋_GB2312" w:hint="eastAsia"/>
          <w:color w:val="000000"/>
          <w:sz w:val="32"/>
          <w:szCs w:val="32"/>
        </w:rPr>
        <w:t>、农机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等生产技术推广部门的深度配合，</w:t>
      </w:r>
      <w:r>
        <w:rPr>
          <w:rFonts w:ascii="仿宋_GB2312" w:eastAsia="仿宋_GB2312" w:hint="eastAsia"/>
          <w:color w:val="000000"/>
          <w:sz w:val="32"/>
          <w:szCs w:val="32"/>
        </w:rPr>
        <w:t>积极推动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农机农艺与渔技的有机衔接融合，推进智能控制、远程诊断等“物联网+”技术</w:t>
      </w:r>
      <w:r>
        <w:rPr>
          <w:rFonts w:ascii="仿宋_GB2312" w:eastAsia="仿宋_GB2312" w:hint="eastAsia"/>
          <w:color w:val="000000"/>
          <w:sz w:val="32"/>
          <w:szCs w:val="32"/>
        </w:rPr>
        <w:t>的普及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应用。</w:t>
      </w: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4．</w:t>
      </w:r>
      <w:r>
        <w:rPr>
          <w:rFonts w:ascii="楷体_GB2312" w:eastAsia="楷体_GB2312" w:hint="eastAsia"/>
          <w:color w:val="000000"/>
          <w:sz w:val="32"/>
          <w:szCs w:val="32"/>
        </w:rPr>
        <w:t>强化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主体培育。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鼓励农户将承包经营土地采取转包、出租、互换、转让、入股等方式向稻渔综合种养新型经营主体流转，以</w:t>
      </w:r>
      <w:r w:rsidRPr="002A5A43">
        <w:rPr>
          <w:rFonts w:ascii="仿宋_GB2312" w:eastAsia="仿宋_GB2312" w:hint="eastAsia"/>
          <w:color w:val="000000"/>
          <w:sz w:val="32"/>
          <w:szCs w:val="32"/>
        </w:rPr>
        <w:t>农业经济开发区和“一区一镇”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为核心，结合生态高标准农田建设，培育壮大稻渔综合种养专业大户、家庭农场、农民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合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lastRenderedPageBreak/>
        <w:t>作社、</w:t>
      </w:r>
      <w:r>
        <w:rPr>
          <w:rFonts w:ascii="仿宋_GB2312" w:eastAsia="仿宋_GB2312" w:hint="eastAsia"/>
          <w:color w:val="000000"/>
          <w:sz w:val="32"/>
          <w:szCs w:val="32"/>
        </w:rPr>
        <w:t>龙头企业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等新型经营主体。鼓励专业技术人员领办创办稻渔企业、社会化服务组织，促进稻渔综合种养科技成果转化和科技服务下沉。加强对稻渔综合种养新型经营主体、社会化服务组织负责人的系统性、针对性、跟踪型教育培训，加快培养一批掌握水稻种植、水产养殖、市场营销的复合型人才。到2022年，全市引导新从事稻渔综合种养的种粮大户、养殖户、渔二代、农创客</w:t>
      </w:r>
      <w:r>
        <w:rPr>
          <w:rFonts w:ascii="仿宋_GB2312" w:eastAsia="仿宋_GB2312" w:hint="eastAsia"/>
          <w:color w:val="000000"/>
          <w:sz w:val="32"/>
          <w:szCs w:val="32"/>
        </w:rPr>
        <w:t>等人数达到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200人，累计培训稻、渔农民3000人次以上。</w:t>
      </w: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5．</w:t>
      </w:r>
      <w:r>
        <w:rPr>
          <w:rFonts w:ascii="楷体_GB2312" w:eastAsia="楷体_GB2312" w:hint="eastAsia"/>
          <w:color w:val="000000"/>
          <w:sz w:val="32"/>
          <w:szCs w:val="32"/>
        </w:rPr>
        <w:t>强化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品牌打造。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积极引导经营主体、中介机构等开展品牌建设和品牌营销，</w:t>
      </w:r>
      <w:r>
        <w:rPr>
          <w:rFonts w:ascii="仿宋_GB2312" w:eastAsia="仿宋_GB2312" w:hint="eastAsia"/>
          <w:color w:val="000000"/>
          <w:sz w:val="32"/>
          <w:szCs w:val="32"/>
        </w:rPr>
        <w:t>引导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稻渔</w:t>
      </w:r>
      <w:r>
        <w:rPr>
          <w:rFonts w:ascii="仿宋_GB2312" w:eastAsia="仿宋_GB2312" w:hint="eastAsia"/>
          <w:color w:val="000000"/>
          <w:sz w:val="32"/>
          <w:szCs w:val="32"/>
        </w:rPr>
        <w:t>主体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品牌</w:t>
      </w:r>
      <w:r>
        <w:rPr>
          <w:rFonts w:ascii="仿宋_GB2312" w:eastAsia="仿宋_GB2312" w:hint="eastAsia"/>
          <w:color w:val="000000"/>
          <w:sz w:val="32"/>
          <w:szCs w:val="32"/>
        </w:rPr>
        <w:t>积极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融入</w:t>
      </w:r>
      <w:r>
        <w:rPr>
          <w:rFonts w:ascii="仿宋_GB2312" w:eastAsia="仿宋_GB2312" w:hint="eastAsia"/>
          <w:color w:val="000000"/>
          <w:sz w:val="32"/>
          <w:szCs w:val="32"/>
        </w:rPr>
        <w:t>农产品区域公用品牌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。探索搭建稻渔品牌化公共服务示范平台，开展品牌推介、产品评鉴、技术发布、经营分析等活动，科普推广“稻渔米、放心米、有机鱼、优质</w:t>
      </w:r>
      <w:r>
        <w:rPr>
          <w:rFonts w:ascii="仿宋_GB2312" w:eastAsia="仿宋_GB2312" w:hint="eastAsia"/>
          <w:color w:val="000000"/>
          <w:sz w:val="32"/>
          <w:szCs w:val="32"/>
        </w:rPr>
        <w:t>虾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”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理念，打造一批具有嘉兴特色、影响力大、竞争力强的稻渔产品</w:t>
      </w:r>
      <w:r>
        <w:rPr>
          <w:rFonts w:ascii="仿宋_GB2312" w:eastAsia="仿宋_GB2312" w:hint="eastAsia"/>
          <w:color w:val="000000"/>
          <w:sz w:val="32"/>
          <w:szCs w:val="32"/>
        </w:rPr>
        <w:t>品牌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。到2022年，力争培育稻渔综合种养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知名稻米、水产品品牌5个以上。</w:t>
      </w:r>
    </w:p>
    <w:p w:rsidR="00F8634A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6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．</w:t>
      </w:r>
      <w:r>
        <w:rPr>
          <w:rFonts w:ascii="楷体_GB2312" w:eastAsia="楷体_GB2312" w:hint="eastAsia"/>
          <w:color w:val="000000"/>
          <w:sz w:val="32"/>
          <w:szCs w:val="32"/>
        </w:rPr>
        <w:t>强化融合发展</w:t>
      </w:r>
      <w:r>
        <w:rPr>
          <w:rFonts w:ascii="仿宋_GB2312" w:eastAsia="仿宋_GB2312" w:hint="eastAsia"/>
          <w:color w:val="000000"/>
          <w:sz w:val="32"/>
          <w:szCs w:val="32"/>
        </w:rPr>
        <w:t>。积极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挖掘稻渔综合种养“接二连三”功能，</w:t>
      </w:r>
      <w:r>
        <w:rPr>
          <w:rFonts w:ascii="仿宋_GB2312" w:eastAsia="仿宋_GB2312" w:hint="eastAsia"/>
          <w:color w:val="000000"/>
          <w:sz w:val="32"/>
          <w:szCs w:val="32"/>
        </w:rPr>
        <w:t>培育本土“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产、加、销</w:t>
      </w:r>
      <w:r>
        <w:rPr>
          <w:rFonts w:ascii="仿宋_GB2312" w:eastAsia="仿宋_GB2312" w:hint="eastAsia"/>
          <w:color w:val="000000"/>
          <w:sz w:val="32"/>
          <w:szCs w:val="32"/>
        </w:rPr>
        <w:t>”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一体化</w:t>
      </w:r>
      <w:r>
        <w:rPr>
          <w:rFonts w:ascii="仿宋_GB2312" w:eastAsia="仿宋_GB2312" w:hint="eastAsia"/>
          <w:color w:val="000000"/>
          <w:sz w:val="32"/>
          <w:szCs w:val="32"/>
        </w:rPr>
        <w:t>企业，依托美丽乡村建设成果，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积极推动稻渔综合种养与休闲、旅游</w:t>
      </w:r>
      <w:r>
        <w:rPr>
          <w:rFonts w:ascii="仿宋_GB2312" w:eastAsia="仿宋_GB2312" w:hint="eastAsia"/>
          <w:color w:val="000000"/>
          <w:sz w:val="32"/>
          <w:szCs w:val="32"/>
        </w:rPr>
        <w:t>、文化、康养等产业的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有机结合，不断延长产业链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提升价值链</w:t>
      </w:r>
      <w:r>
        <w:rPr>
          <w:rFonts w:ascii="仿宋_GB2312" w:eastAsia="仿宋_GB2312" w:hint="eastAsia"/>
          <w:color w:val="000000"/>
          <w:sz w:val="32"/>
          <w:szCs w:val="32"/>
        </w:rPr>
        <w:t>、完善利益链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F8634A" w:rsidRPr="00F4300F" w:rsidRDefault="00F8634A" w:rsidP="00E200DF">
      <w:pPr>
        <w:spacing w:line="540" w:lineRule="exact"/>
        <w:ind w:firstLineChars="200" w:firstLine="640"/>
        <w:jc w:val="left"/>
        <w:rPr>
          <w:rFonts w:ascii="黑体" w:eastAsia="黑体" w:hAnsi="黑体"/>
          <w:color w:val="000000"/>
          <w:sz w:val="32"/>
          <w:szCs w:val="32"/>
        </w:rPr>
      </w:pPr>
      <w:r w:rsidRPr="00F4300F">
        <w:rPr>
          <w:rFonts w:ascii="黑体" w:eastAsia="黑体" w:hAnsi="黑体" w:hint="eastAsia"/>
          <w:color w:val="000000"/>
          <w:sz w:val="32"/>
          <w:szCs w:val="32"/>
        </w:rPr>
        <w:t>三、保障措施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1．加强组织领导。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各县（市、区）</w:t>
      </w:r>
      <w:r>
        <w:rPr>
          <w:rFonts w:ascii="仿宋_GB2312" w:eastAsia="仿宋_GB2312" w:hint="eastAsia"/>
          <w:color w:val="000000"/>
          <w:sz w:val="32"/>
          <w:szCs w:val="32"/>
        </w:rPr>
        <w:t>农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业主管部门要各司其职，密切配合，明确发展目标</w:t>
      </w:r>
      <w:r>
        <w:rPr>
          <w:rFonts w:ascii="仿宋_GB2312" w:eastAsia="仿宋_GB2312" w:hint="eastAsia"/>
          <w:color w:val="000000"/>
          <w:sz w:val="32"/>
          <w:szCs w:val="32"/>
        </w:rPr>
        <w:t>、制定发展规划、落实配套政策、细化措施方案，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做到认识到位、责任到位、措施到位、投入到位，</w:t>
      </w:r>
      <w:r>
        <w:rPr>
          <w:rFonts w:ascii="仿宋_GB2312" w:eastAsia="仿宋_GB2312" w:hint="eastAsia"/>
          <w:color w:val="000000"/>
          <w:sz w:val="32"/>
          <w:szCs w:val="32"/>
        </w:rPr>
        <w:t>形成上下协同、齐抓共管、有序推进的良好工作格局，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确保落到实处，取得实效。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lastRenderedPageBreak/>
        <w:t>2．加强政策扶持。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重点县</w:t>
      </w:r>
      <w:r>
        <w:rPr>
          <w:rFonts w:ascii="仿宋_GB2312" w:eastAsia="仿宋_GB2312" w:hint="eastAsia"/>
          <w:color w:val="000000"/>
          <w:sz w:val="32"/>
          <w:szCs w:val="32"/>
        </w:rPr>
        <w:t>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争取</w:t>
      </w:r>
      <w:r>
        <w:rPr>
          <w:rFonts w:ascii="仿宋_GB2312" w:eastAsia="仿宋_GB2312" w:hint="eastAsia"/>
          <w:color w:val="000000"/>
          <w:sz w:val="32"/>
          <w:szCs w:val="32"/>
        </w:rPr>
        <w:t>加大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财政涉农资金向稻渔综合种养产业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倾斜</w:t>
      </w:r>
      <w:r>
        <w:rPr>
          <w:rFonts w:ascii="仿宋_GB2312" w:eastAsia="仿宋_GB2312" w:hint="eastAsia"/>
          <w:color w:val="000000"/>
          <w:sz w:val="32"/>
          <w:szCs w:val="32"/>
        </w:rPr>
        <w:t>力度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，鼓励有条件的地区设立专项资金，扶持稻渔综合种养发展。鼓励、引导社会各界</w:t>
      </w:r>
      <w:r>
        <w:rPr>
          <w:rFonts w:ascii="仿宋_GB2312" w:eastAsia="仿宋_GB2312" w:hint="eastAsia"/>
          <w:color w:val="000000"/>
          <w:sz w:val="32"/>
          <w:szCs w:val="32"/>
        </w:rPr>
        <w:t>积极投身、投资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稻渔产业化发展。</w:t>
      </w:r>
      <w:r>
        <w:rPr>
          <w:rFonts w:ascii="仿宋_GB2312" w:eastAsia="仿宋_GB2312" w:hint="eastAsia"/>
          <w:color w:val="000000"/>
          <w:sz w:val="32"/>
          <w:szCs w:val="32"/>
        </w:rPr>
        <w:t>优先协调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保障稻渔综合种养产业相关生产、加工、交易和物流用地。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 w:rsidRPr="00F4300F">
        <w:rPr>
          <w:rFonts w:ascii="楷体_GB2312" w:eastAsia="楷体_GB2312" w:hint="eastAsia"/>
          <w:color w:val="000000"/>
          <w:sz w:val="32"/>
          <w:szCs w:val="32"/>
        </w:rPr>
        <w:t>3．加强监督管理。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要严守耕地保护红线</w:t>
      </w:r>
      <w:r>
        <w:rPr>
          <w:rFonts w:ascii="仿宋_GB2312" w:eastAsia="仿宋_GB2312" w:hint="eastAsia"/>
          <w:color w:val="000000"/>
          <w:sz w:val="32"/>
          <w:szCs w:val="32"/>
        </w:rPr>
        <w:t>，严格执行</w:t>
      </w:r>
      <w:r w:rsidRPr="009E7F60">
        <w:rPr>
          <w:rFonts w:ascii="仿宋_GB2312" w:eastAsia="仿宋_GB2312" w:hint="eastAsia"/>
          <w:color w:val="000000"/>
          <w:sz w:val="32"/>
          <w:szCs w:val="32"/>
        </w:rPr>
        <w:t>稻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渔综合种养田块鱼沟、鱼凼开挖面积不超过10%的红线。</w:t>
      </w:r>
      <w:r>
        <w:rPr>
          <w:rFonts w:ascii="仿宋_GB2312" w:eastAsia="仿宋_GB2312" w:hint="eastAsia"/>
          <w:color w:val="000000"/>
          <w:sz w:val="32"/>
          <w:szCs w:val="32"/>
        </w:rPr>
        <w:t>建立健全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联合监管长效机制，严禁借发展稻渔综合种养之名，毁坏耕地和永久基本农田种植条件，变相挖塘养鱼</w:t>
      </w:r>
      <w:r>
        <w:rPr>
          <w:rFonts w:ascii="仿宋_GB2312" w:eastAsia="仿宋_GB2312" w:hint="eastAsia"/>
          <w:color w:val="000000"/>
          <w:sz w:val="32"/>
          <w:szCs w:val="32"/>
        </w:rPr>
        <w:t>。要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加强指导与监督，严格耕地保护，确保稻渔工程规范有序健康发展。</w:t>
      </w:r>
    </w:p>
    <w:p w:rsidR="00F8634A" w:rsidRPr="00876D74" w:rsidRDefault="00F8634A" w:rsidP="00E200DF">
      <w:pPr>
        <w:spacing w:line="54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4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．</w:t>
      </w:r>
      <w:r w:rsidRPr="00B642E9">
        <w:rPr>
          <w:rFonts w:ascii="楷体_GB2312" w:eastAsia="楷体_GB2312" w:hint="eastAsia"/>
          <w:color w:val="000000"/>
          <w:sz w:val="32"/>
          <w:szCs w:val="32"/>
        </w:rPr>
        <w:t>加强</w:t>
      </w:r>
      <w:r w:rsidRPr="00F4300F">
        <w:rPr>
          <w:rFonts w:ascii="楷体_GB2312" w:eastAsia="楷体_GB2312" w:hint="eastAsia"/>
          <w:color w:val="000000"/>
          <w:sz w:val="32"/>
          <w:szCs w:val="32"/>
        </w:rPr>
        <w:t>宣传引导。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要</w:t>
      </w:r>
      <w:r>
        <w:rPr>
          <w:rFonts w:ascii="仿宋_GB2312" w:eastAsia="仿宋_GB2312" w:hint="eastAsia"/>
          <w:color w:val="000000"/>
          <w:sz w:val="32"/>
          <w:szCs w:val="32"/>
        </w:rPr>
        <w:t>注重</w:t>
      </w:r>
      <w:r w:rsidRPr="00876D74">
        <w:rPr>
          <w:rFonts w:ascii="仿宋_GB2312" w:eastAsia="仿宋_GB2312" w:hint="eastAsia"/>
          <w:color w:val="000000"/>
          <w:sz w:val="32"/>
          <w:szCs w:val="32"/>
        </w:rPr>
        <w:t>聚焦稻渔产业“强”、稻渔环境“美”、稻渔产品“优”、稻渔主体“富”等稻渔综合种养特色与优势，及时总结提炼可复制、可推广的典型案例，通过各类媒体开展广泛宣传，提高品牌知名度、美誉度和市场影响力，让社会各界广泛了解稻渔综合种养的发展前景和重要效应，营造好上下认可、多方支持的良好氛围。</w:t>
      </w:r>
    </w:p>
    <w:tbl>
      <w:tblPr>
        <w:tblpPr w:leftFromText="181" w:rightFromText="181" w:vertAnchor="page" w:horzAnchor="margin" w:tblpY="13208"/>
        <w:tblOverlap w:val="never"/>
        <w:tblW w:w="8845" w:type="dxa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ayout w:type="fixed"/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3748"/>
        <w:gridCol w:w="5097"/>
      </w:tblGrid>
      <w:tr w:rsidR="00215ACB" w:rsidRPr="001065F3" w:rsidTr="006F28A5">
        <w:trPr>
          <w:trHeight w:val="544"/>
        </w:trPr>
        <w:tc>
          <w:tcPr>
            <w:tcW w:w="8845" w:type="dxa"/>
            <w:gridSpan w:val="2"/>
            <w:vAlign w:val="center"/>
          </w:tcPr>
          <w:p w:rsidR="00215ACB" w:rsidRPr="001065F3" w:rsidRDefault="00215ACB" w:rsidP="006F28A5">
            <w:pPr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AC2371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省农业农村厅、市府办、市自然资源和规划局</w:t>
            </w:r>
          </w:p>
        </w:tc>
      </w:tr>
      <w:tr w:rsidR="00215ACB" w:rsidRPr="001065F3" w:rsidTr="006F28A5">
        <w:trPr>
          <w:trHeight w:val="544"/>
        </w:trPr>
        <w:tc>
          <w:tcPr>
            <w:tcW w:w="3748" w:type="dxa"/>
            <w:vAlign w:val="center"/>
          </w:tcPr>
          <w:p w:rsidR="00215ACB" w:rsidRPr="00E33D5B" w:rsidRDefault="00215ACB" w:rsidP="006F28A5">
            <w:pPr>
              <w:ind w:firstLineChars="50" w:firstLine="1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嘉兴市农业农村局办公室</w:t>
            </w:r>
          </w:p>
        </w:tc>
        <w:tc>
          <w:tcPr>
            <w:tcW w:w="5097" w:type="dxa"/>
            <w:vAlign w:val="center"/>
          </w:tcPr>
          <w:p w:rsidR="00215ACB" w:rsidRPr="001065F3" w:rsidRDefault="00215ACB" w:rsidP="006F28A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E33D5B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E33D5B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E33D5B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E33D5B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911465" w:rsidRPr="007C3451" w:rsidRDefault="00911465" w:rsidP="00215ACB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32"/>
        </w:rPr>
      </w:pPr>
    </w:p>
    <w:sectPr w:rsidR="00911465" w:rsidRPr="007C3451" w:rsidSect="00A46A0B">
      <w:footerReference w:type="even" r:id="rId10"/>
      <w:footerReference w:type="default" r:id="rId11"/>
      <w:pgSz w:w="11906" w:h="16838"/>
      <w:pgMar w:top="1814" w:right="1531" w:bottom="2041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65" w:rsidRDefault="00BC6E65">
      <w:r>
        <w:separator/>
      </w:r>
    </w:p>
  </w:endnote>
  <w:endnote w:type="continuationSeparator" w:id="0">
    <w:p w:rsidR="00BC6E65" w:rsidRDefault="00BC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56283F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E4632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E3736" w:rsidRPr="005E3736">
      <w:rPr>
        <w:rFonts w:ascii="宋体" w:hAnsi="宋体"/>
        <w:noProof/>
        <w:sz w:val="28"/>
        <w:szCs w:val="28"/>
        <w:lang w:val="zh-CN"/>
      </w:rPr>
      <w:t>-</w:t>
    </w:r>
    <w:r w:rsidR="005E3736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CC68A9" w:rsidRDefault="00CC68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8A9" w:rsidRDefault="0056283F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6E4632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E3736" w:rsidRPr="005E3736">
      <w:rPr>
        <w:rFonts w:ascii="宋体" w:hAnsi="宋体"/>
        <w:noProof/>
        <w:sz w:val="28"/>
        <w:szCs w:val="28"/>
        <w:lang w:val="zh-CN"/>
      </w:rPr>
      <w:t>-</w:t>
    </w:r>
    <w:r w:rsidR="005E3736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CC68A9" w:rsidRDefault="005E373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4445" b="635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68A9" w:rsidRDefault="00CC68A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8.15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" filled="f" stroked="f" strokeweight=".5pt">
              <v:path arrowok="t"/>
              <v:textbox style="mso-fit-shape-to-text:t" inset="0,0,0,0">
                <w:txbxContent>
                  <w:p w:rsidR="00CC68A9" w:rsidRDefault="00CC68A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65" w:rsidRDefault="00BC6E65">
      <w:r>
        <w:separator/>
      </w:r>
    </w:p>
  </w:footnote>
  <w:footnote w:type="continuationSeparator" w:id="0">
    <w:p w:rsidR="00BC6E65" w:rsidRDefault="00BC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9"/>
    <w:rsid w:val="00103B97"/>
    <w:rsid w:val="001F5709"/>
    <w:rsid w:val="00215ACB"/>
    <w:rsid w:val="00247608"/>
    <w:rsid w:val="00263866"/>
    <w:rsid w:val="005567C2"/>
    <w:rsid w:val="0056283F"/>
    <w:rsid w:val="005E3736"/>
    <w:rsid w:val="006840DA"/>
    <w:rsid w:val="006E4632"/>
    <w:rsid w:val="0072568D"/>
    <w:rsid w:val="00791E72"/>
    <w:rsid w:val="007C3451"/>
    <w:rsid w:val="008105A4"/>
    <w:rsid w:val="00911465"/>
    <w:rsid w:val="00957DEF"/>
    <w:rsid w:val="00975101"/>
    <w:rsid w:val="009E03FE"/>
    <w:rsid w:val="00A46A0B"/>
    <w:rsid w:val="00B90241"/>
    <w:rsid w:val="00BC6E65"/>
    <w:rsid w:val="00C05C85"/>
    <w:rsid w:val="00C25EE8"/>
    <w:rsid w:val="00CC68A9"/>
    <w:rsid w:val="00CE439E"/>
    <w:rsid w:val="00DC7B3E"/>
    <w:rsid w:val="00E200DF"/>
    <w:rsid w:val="00EE28BD"/>
    <w:rsid w:val="00EE7B20"/>
    <w:rsid w:val="00F468AA"/>
    <w:rsid w:val="00F75359"/>
    <w:rsid w:val="00F8634A"/>
    <w:rsid w:val="0E1917EA"/>
    <w:rsid w:val="10AC7240"/>
    <w:rsid w:val="12AC6D86"/>
    <w:rsid w:val="197B7C2C"/>
    <w:rsid w:val="22755591"/>
    <w:rsid w:val="28AE52CC"/>
    <w:rsid w:val="28AF3C81"/>
    <w:rsid w:val="31B56FE1"/>
    <w:rsid w:val="50645820"/>
    <w:rsid w:val="56272736"/>
    <w:rsid w:val="597E0C98"/>
    <w:rsid w:val="608A03C1"/>
    <w:rsid w:val="70F176F1"/>
    <w:rsid w:val="7E095930"/>
    <w:rsid w:val="7EFD13B3"/>
    <w:rsid w:val="7FA56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">
    <w:name w:val="Char Char Char"/>
    <w:basedOn w:val="a"/>
    <w:rsid w:val="00F8634A"/>
    <w:pPr>
      <w:widowControl/>
      <w:spacing w:after="160" w:line="240" w:lineRule="exact"/>
      <w:jc w:val="left"/>
    </w:pPr>
    <w:rPr>
      <w:rFonts w:ascii="Calibri" w:eastAsia="宋体" w:hAnsi="Calibri" w:cs="Calibri"/>
      <w:szCs w:val="20"/>
    </w:rPr>
  </w:style>
  <w:style w:type="paragraph" w:styleId="a7">
    <w:name w:val="Date"/>
    <w:basedOn w:val="a"/>
    <w:next w:val="a"/>
    <w:link w:val="Char"/>
    <w:rsid w:val="006840DA"/>
    <w:pPr>
      <w:ind w:leftChars="2500" w:left="100"/>
    </w:pPr>
  </w:style>
  <w:style w:type="character" w:customStyle="1" w:styleId="Char">
    <w:name w:val="日期 Char"/>
    <w:basedOn w:val="a0"/>
    <w:link w:val="a7"/>
    <w:rsid w:val="006840DA"/>
    <w:rPr>
      <w:kern w:val="2"/>
      <w:sz w:val="21"/>
      <w:szCs w:val="22"/>
    </w:rPr>
  </w:style>
  <w:style w:type="paragraph" w:styleId="a8">
    <w:name w:val="Balloon Text"/>
    <w:basedOn w:val="a"/>
    <w:link w:val="Char0"/>
    <w:rsid w:val="00E200DF"/>
    <w:rPr>
      <w:sz w:val="18"/>
      <w:szCs w:val="18"/>
    </w:rPr>
  </w:style>
  <w:style w:type="character" w:customStyle="1" w:styleId="Char0">
    <w:name w:val="批注框文本 Char"/>
    <w:basedOn w:val="a0"/>
    <w:link w:val="a8"/>
    <w:rsid w:val="00E200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CharCharChar">
    <w:name w:val="Char Char Char"/>
    <w:basedOn w:val="a"/>
    <w:rsid w:val="00F8634A"/>
    <w:pPr>
      <w:widowControl/>
      <w:spacing w:after="160" w:line="240" w:lineRule="exact"/>
      <w:jc w:val="left"/>
    </w:pPr>
    <w:rPr>
      <w:rFonts w:ascii="Calibri" w:eastAsia="宋体" w:hAnsi="Calibri" w:cs="Calibri"/>
      <w:szCs w:val="20"/>
    </w:rPr>
  </w:style>
  <w:style w:type="paragraph" w:styleId="a7">
    <w:name w:val="Date"/>
    <w:basedOn w:val="a"/>
    <w:next w:val="a"/>
    <w:link w:val="Char"/>
    <w:rsid w:val="006840DA"/>
    <w:pPr>
      <w:ind w:leftChars="2500" w:left="100"/>
    </w:pPr>
  </w:style>
  <w:style w:type="character" w:customStyle="1" w:styleId="Char">
    <w:name w:val="日期 Char"/>
    <w:basedOn w:val="a0"/>
    <w:link w:val="a7"/>
    <w:rsid w:val="006840DA"/>
    <w:rPr>
      <w:kern w:val="2"/>
      <w:sz w:val="21"/>
      <w:szCs w:val="22"/>
    </w:rPr>
  </w:style>
  <w:style w:type="paragraph" w:styleId="a8">
    <w:name w:val="Balloon Text"/>
    <w:basedOn w:val="a"/>
    <w:link w:val="Char0"/>
    <w:rsid w:val="00E200DF"/>
    <w:rPr>
      <w:sz w:val="18"/>
      <w:szCs w:val="18"/>
    </w:rPr>
  </w:style>
  <w:style w:type="character" w:customStyle="1" w:styleId="Char0">
    <w:name w:val="批注框文本 Char"/>
    <w:basedOn w:val="a0"/>
    <w:link w:val="a8"/>
    <w:rsid w:val="00E200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BBF794-BF9B-442C-86A5-27AEBD7F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462</Words>
  <Characters>2639</Characters>
  <Application>Microsoft Office Word</Application>
  <DocSecurity>0</DocSecurity>
  <Lines>21</Lines>
  <Paragraphs>6</Paragraphs>
  <ScaleCrop>false</ScaleCrop>
  <Company>User-PC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2020-01-15T06:21:00Z</cp:lastPrinted>
  <dcterms:created xsi:type="dcterms:W3CDTF">2020-01-15T06:34:00Z</dcterms:created>
  <dcterms:modified xsi:type="dcterms:W3CDTF">2020-01-15T06:34:00Z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